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47" w:rsidRDefault="00D11F47" w:rsidP="00D11F47">
      <w:pPr>
        <w:pStyle w:val="1"/>
        <w:shd w:val="clear" w:color="auto" w:fill="FFFFFF"/>
        <w:spacing w:before="225" w:after="150"/>
        <w:jc w:val="center"/>
        <w:rPr>
          <w:rFonts w:ascii="Verdana" w:hAnsi="Verdana"/>
          <w:color w:val="66CC33"/>
        </w:rPr>
      </w:pPr>
      <w:bookmarkStart w:id="0" w:name="_GoBack"/>
      <w:r>
        <w:rPr>
          <w:rStyle w:val="a3"/>
          <w:rFonts w:ascii="Arial" w:hAnsi="Arial" w:cs="Arial"/>
          <w:b w:val="0"/>
          <w:bCs w:val="0"/>
          <w:color w:val="111111"/>
          <w:sz w:val="27"/>
          <w:szCs w:val="27"/>
        </w:rPr>
        <w:t>Памятка по профилактике преступлений против половой неприкосновенности несовершеннолетних</w:t>
      </w:r>
    </w:p>
    <w:bookmarkEnd w:id="0"/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Вред, причиненный ребенку в результате насильственных преступлений, приводит к отклонениям в нравственном 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психофизическом  развитии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несовершеннолетних и представляет угрозу для его будущего.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-прямая зависимость потерпевших несовершеннолетних от преступника. Субъекты преступления в этом случае могут выступать блокирующем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фактором  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использовать все возможные средства для того, чтобы о преступлении никто не узнал.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 xml:space="preserve">ласка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трогание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запретных частей тела,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эротизированная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забота;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 xml:space="preserve">изнасилование в обычной форме, орально-генитальный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анально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-генитальный контакт;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Сексуальная эксплуатация - порнографические фотографии и фильмы с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участием  детьми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, проституция.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3"/>
          <w:rFonts w:ascii="Tahoma" w:hAnsi="Tahoma" w:cs="Tahoma"/>
          <w:color w:val="111111"/>
          <w:sz w:val="18"/>
          <w:szCs w:val="18"/>
        </w:rPr>
        <w:t>Статья 131. Изнасилование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–наказывается ограничением свободы на срок до четырех лет или лишением свободы на срок от трех до семи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Arial" w:eastAsiaTheme="majorEastAsia" w:hAnsi="Arial" w:cs="Arial"/>
          <w:color w:val="111111"/>
          <w:sz w:val="18"/>
          <w:szCs w:val="18"/>
        </w:rPr>
        <w:t>наказывается лишением свободы на срок от восьми до пятнадцати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3"/>
          <w:rFonts w:ascii="Tahoma" w:hAnsi="Tahoma" w:cs="Tahoma"/>
          <w:color w:val="111111"/>
          <w:sz w:val="18"/>
          <w:szCs w:val="18"/>
        </w:rPr>
        <w:t>Статья 132. Насильственные действия сексуального характера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наказываются лишением свободы на срок от пяти до тринадцати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Arial" w:eastAsiaTheme="majorEastAsia" w:hAnsi="Arial" w:cs="Arial"/>
          <w:color w:val="111111"/>
          <w:sz w:val="18"/>
          <w:szCs w:val="18"/>
        </w:rPr>
        <w:t>наказываются лишением свободы на срок от восьми до пятнадцати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3"/>
          <w:rFonts w:ascii="Tahoma" w:hAnsi="Tahoma" w:cs="Tahoma"/>
          <w:color w:val="111111"/>
          <w:sz w:val="18"/>
          <w:szCs w:val="18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Arial" w:eastAsiaTheme="majorEastAsia" w:hAnsi="Arial" w:cs="Arial"/>
          <w:color w:val="111111"/>
          <w:sz w:val="18"/>
          <w:szCs w:val="18"/>
        </w:rPr>
        <w:t>наказываются ограничением свободы на срок до четырех лет или лишением свободы на тот же срок со штрафом.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Arial" w:eastAsiaTheme="majorEastAsia" w:hAnsi="Arial" w:cs="Arial"/>
          <w:color w:val="111111"/>
          <w:sz w:val="18"/>
          <w:szCs w:val="18"/>
        </w:rPr>
        <w:t>наказываются лишением свободы на срок от трех до десяти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3"/>
          <w:rFonts w:ascii="Tahoma" w:hAnsi="Tahoma" w:cs="Tahoma"/>
          <w:color w:val="111111"/>
          <w:sz w:val="18"/>
          <w:szCs w:val="18"/>
        </w:rPr>
        <w:t>Статья 135. Развратные действия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наказываются арестом или лишением свободы на срок от одного года до трех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2. Те же действия, совершенные с применением насилия или с угрозой его применения, –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Arial" w:eastAsiaTheme="majorEastAsia" w:hAnsi="Arial" w:cs="Arial"/>
          <w:color w:val="111111"/>
          <w:sz w:val="18"/>
          <w:szCs w:val="18"/>
        </w:rPr>
        <w:t>наказываются лишением свободы на срок от трех до шести лет.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Признаки сексуального насилия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у детей и подростков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Физические признаки: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Оральные симптомы:</w:t>
      </w:r>
      <w:r>
        <w:rPr>
          <w:rFonts w:ascii="Tahoma" w:hAnsi="Tahoma" w:cs="Tahoma"/>
          <w:color w:val="111111"/>
          <w:sz w:val="18"/>
          <w:szCs w:val="18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Анальные симптомы: </w:t>
      </w:r>
      <w:r>
        <w:rPr>
          <w:rFonts w:ascii="Tahoma" w:hAnsi="Tahoma" w:cs="Tahoma"/>
          <w:color w:val="111111"/>
          <w:sz w:val="18"/>
          <w:szCs w:val="18"/>
        </w:rPr>
        <w:t>повреждения в прямой кишке, покраснение ануса, варикозные изменения, ослабление сфинктера, запоры.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Вагинальные симптомы</w:t>
      </w:r>
      <w:r>
        <w:rPr>
          <w:rFonts w:ascii="Tahoma" w:hAnsi="Tahoma" w:cs="Tahoma"/>
          <w:color w:val="111111"/>
          <w:sz w:val="18"/>
          <w:szCs w:val="1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Кроме этого, признаками сексуального насилия над ребенком являются: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порванное, запачканное или окровавленное нижнее белье;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гематомы (синяки) в области половых органов;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кровотечения, необъяснимые выделения из половых органов;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гематомы и укусы на груди, ягодицах, ногах, нижней части живота, бедрах;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боль в нижней части живота;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lastRenderedPageBreak/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повторяющиеся воспаления мочеиспускательных путей;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болезни, передающиеся половым путем;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беременность.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Изменения в поведении: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Изменения в выражении сексуальности ребенка: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чрезвычайный интерес к играм сексуального содержания;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поразительные для этого возраста знания о сексуальной жизни;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соблазняющее, особо завлекающее поведение по отношению к противоположному полу и взрослым;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сексуальные действия с другими детьми (начиная с младшего школьного возраста);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Изменения в эмоциональном состоянии и общении ребенка: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замкнутость, изоляция, уход в себя;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депрессивность, грустное настроение;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 xml:space="preserve">отвращение,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стыд,  вина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, недоверие, чувство испорченности;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частая задумчивость, отстраненность (встречается у детей и подростков, начиная с дошкольного возраста);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истерическое поведение, быстрая потеря самоконтроля;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отчуждение от братьев и сестер;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терроризирование младших и детей своего возраста;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жестокость по отношению к игрушкам (у младших детей);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амбивалентные чувства к взрослым (начиная с младшего школьного возраста).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Изменения личности и мотивации ребенка, социальные признаки: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неспособность защитить себя, непротивление насилию и издевательству над собой, смирение;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резкое изменение успеваемости (хуже или гораздо лучше);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 xml:space="preserve">отрицание традиций своей семьи вследствие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несформированности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социальных ролей и своей роли в ней, вплоть до ухода из дома (характерно для подростков).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Изменения самосознания ребенка: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падение самооценки;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мысли о самоубийстве, попытки самоубийства.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Появление невротических и психосоматических симптомов: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боязнь оставаться в помещении наедине с определенным человеком;</w:t>
      </w:r>
    </w:p>
    <w:p w:rsidR="00D11F47" w:rsidRDefault="00D11F47" w:rsidP="00D11F47">
      <w:pPr>
        <w:pStyle w:val="a4"/>
        <w:shd w:val="clear" w:color="auto" w:fill="FFFFFF"/>
        <w:spacing w:before="0" w:beforeAutospacing="0" w:after="150" w:afterAutospacing="0"/>
        <w:ind w:left="45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111111"/>
          <w:sz w:val="20"/>
          <w:szCs w:val="20"/>
        </w:rPr>
        <w:t></w:t>
      </w:r>
      <w:r>
        <w:rPr>
          <w:color w:val="111111"/>
          <w:sz w:val="14"/>
          <w:szCs w:val="14"/>
        </w:rPr>
        <w:t>         </w:t>
      </w:r>
      <w:r>
        <w:rPr>
          <w:rFonts w:ascii="Tahoma" w:hAnsi="Tahoma" w:cs="Tahoma"/>
          <w:color w:val="111111"/>
          <w:sz w:val="18"/>
          <w:szCs w:val="18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Конечно, выявив у ребенка какой-либо из этих признаков, не стоит сразу подозревать насилие, но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если  они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Если же помощь не оказана вовремя, ребенок остается один на один со своей проблемой.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Остановитесь! Оглянитесь!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Рядом с Вами может быть ребенок, который нуждается именно в Вашей помощи…</w:t>
      </w:r>
    </w:p>
    <w:p w:rsidR="00D11F47" w:rsidRDefault="00D11F47" w:rsidP="00D11F47">
      <w:pPr>
        <w:pStyle w:val="a4"/>
        <w:shd w:val="clear" w:color="auto" w:fill="FFFFFF"/>
        <w:spacing w:before="150" w:beforeAutospacing="0" w:after="18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18"/>
          <w:szCs w:val="18"/>
        </w:rPr>
        <w:t>Профилактика преступлений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t>против половой неприкосновенности несовершеннолетних.</w:t>
      </w:r>
    </w:p>
    <w:p w:rsidR="00DF78C6" w:rsidRPr="00D11F47" w:rsidRDefault="00DF78C6" w:rsidP="00D11F47"/>
    <w:sectPr w:rsidR="00DF78C6" w:rsidRPr="00D1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4"/>
    <w:rsid w:val="00845AF4"/>
    <w:rsid w:val="00A34763"/>
    <w:rsid w:val="00C65DBC"/>
    <w:rsid w:val="00D11F47"/>
    <w:rsid w:val="00D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7288-A612-4637-95EC-69597F4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4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4763"/>
    <w:rPr>
      <w:b/>
      <w:bCs/>
    </w:rPr>
  </w:style>
  <w:style w:type="paragraph" w:styleId="a4">
    <w:name w:val="Normal (Web)"/>
    <w:basedOn w:val="a"/>
    <w:uiPriority w:val="99"/>
    <w:semiHidden/>
    <w:unhideWhenUsed/>
    <w:rsid w:val="00A3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11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2025-02-25T04:46:00Z</dcterms:created>
  <dcterms:modified xsi:type="dcterms:W3CDTF">2025-02-25T04:46:00Z</dcterms:modified>
</cp:coreProperties>
</file>